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3893820" cy="1173480"/>
            <wp:effectExtent b="0" l="0" r="0" t="0"/>
            <wp:docPr descr="Beschrijving: http://t0.gstatic.com/images?q=tbn:ANd9GcSZA-XvEtZ0J8VHiPfQ3XXB6uqq4JQzLRq8Obp3-9tyIwT9SStUuw" id="1" name="image1.jpg"/>
            <a:graphic>
              <a:graphicData uri="http://schemas.openxmlformats.org/drawingml/2006/picture">
                <pic:pic>
                  <pic:nvPicPr>
                    <pic:cNvPr descr="Beschrijving: http://t0.gstatic.com/images?q=tbn:ANd9GcSZA-XvEtZ0J8VHiPfQ3XXB6uqq4JQzLRq8Obp3-9tyIwT9SStUuw" id="0" name="image1.jpg"/>
                    <pic:cNvPicPr preferRelativeResize="0"/>
                  </pic:nvPicPr>
                  <pic:blipFill>
                    <a:blip r:embed="rId6"/>
                    <a:srcRect b="0" l="0" r="0" t="0"/>
                    <a:stretch>
                      <a:fillRect/>
                    </a:stretch>
                  </pic:blipFill>
                  <pic:spPr>
                    <a:xfrm>
                      <a:off x="0" y="0"/>
                      <a:ext cx="3893820" cy="11734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1"/>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groep 495 afdeling Hoek van Holland</w:t>
      </w:r>
    </w:p>
    <w:p w:rsidR="00000000" w:rsidDel="00000000" w:rsidP="00000000" w:rsidRDefault="00000000" w:rsidRPr="00000000" w14:paraId="00000005">
      <w:pPr>
        <w:keepNext w:val="1"/>
        <w:jc w:val="center"/>
        <w:rPr>
          <w:rFonts w:ascii="Calibri" w:cs="Calibri" w:eastAsia="Calibri" w:hAnsi="Calibri"/>
          <w:color w:val="000000"/>
          <w:sz w:val="28"/>
          <w:szCs w:val="28"/>
        </w:rPr>
      </w:pPr>
      <w:hyperlink r:id="rId7">
        <w:r w:rsidDel="00000000" w:rsidR="00000000" w:rsidRPr="00000000">
          <w:rPr>
            <w:rFonts w:ascii="Calibri" w:cs="Calibri" w:eastAsia="Calibri" w:hAnsi="Calibri"/>
            <w:color w:val="000000"/>
            <w:sz w:val="28"/>
            <w:szCs w:val="28"/>
            <w:u w:val="single"/>
            <w:rtl w:val="0"/>
          </w:rPr>
          <w:t xml:space="preserve">www.hoekvanholland.amnesty.nl</w:t>
        </w:r>
      </w:hyperlink>
      <w:r w:rsidDel="00000000" w:rsidR="00000000" w:rsidRPr="00000000">
        <w:rPr>
          <w:rtl w:val="0"/>
        </w:rPr>
      </w:r>
    </w:p>
    <w:p w:rsidR="00000000" w:rsidDel="00000000" w:rsidP="00000000" w:rsidRDefault="00000000" w:rsidRPr="00000000" w14:paraId="00000006">
      <w:pPr>
        <w:keepNext w:val="1"/>
        <w:jc w:val="center"/>
        <w:rPr>
          <w:rFonts w:ascii="Calibri" w:cs="Calibri" w:eastAsia="Calibri" w:hAnsi="Calibri"/>
          <w:b w:val="1"/>
          <w:color w:val="242322"/>
          <w:sz w:val="32"/>
          <w:szCs w:val="32"/>
        </w:rPr>
      </w:pPr>
      <w:r w:rsidDel="00000000" w:rsidR="00000000" w:rsidRPr="00000000">
        <w:rPr>
          <w:rFonts w:ascii="Calibri" w:cs="Calibri" w:eastAsia="Calibri" w:hAnsi="Calibri"/>
          <w:b w:val="1"/>
          <w:color w:val="242322"/>
          <w:sz w:val="32"/>
          <w:szCs w:val="32"/>
          <w:rtl w:val="0"/>
        </w:rPr>
        <w:t xml:space="preserve">https://www.facebook.com/hoekvanholland.amnesty.nl</w:t>
      </w:r>
    </w:p>
    <w:p w:rsidR="00000000" w:rsidDel="00000000" w:rsidP="00000000" w:rsidRDefault="00000000" w:rsidRPr="00000000" w14:paraId="00000007">
      <w:pPr>
        <w:ind w:left="1416" w:firstLine="707.9999999999998"/>
        <w:rPr>
          <w:rFonts w:ascii="Calibri" w:cs="Calibri" w:eastAsia="Calibri" w:hAnsi="Calibri"/>
          <w:b w:val="1"/>
          <w:color w:val="242322"/>
          <w:sz w:val="32"/>
          <w:szCs w:val="32"/>
        </w:rPr>
      </w:pPr>
      <w:r w:rsidDel="00000000" w:rsidR="00000000" w:rsidRPr="00000000">
        <w:rPr>
          <w:rFonts w:ascii="Calibri" w:cs="Calibri" w:eastAsia="Calibri" w:hAnsi="Calibri"/>
          <w:b w:val="1"/>
          <w:color w:val="242322"/>
          <w:sz w:val="32"/>
          <w:szCs w:val="32"/>
          <w:rtl w:val="0"/>
        </w:rPr>
        <w:t xml:space="preserve">VOORBEELDBRIEF april 2025/Jordanië</w:t>
        <w:br w:type="textWrapping"/>
      </w:r>
    </w:p>
    <w:p w:rsidR="00000000" w:rsidDel="00000000" w:rsidP="00000000" w:rsidRDefault="00000000" w:rsidRPr="00000000" w14:paraId="00000008">
      <w:pPr>
        <w:spacing w:after="240" w:lineRule="auto"/>
        <w:rPr>
          <w:rFonts w:ascii="Calibri" w:cs="Calibri" w:eastAsia="Calibri" w:hAnsi="Calibri"/>
          <w:sz w:val="17"/>
          <w:szCs w:val="17"/>
        </w:rPr>
      </w:pPr>
      <w:r w:rsidDel="00000000" w:rsidR="00000000" w:rsidRPr="00000000">
        <w:rPr>
          <w:rFonts w:ascii="Calibri" w:cs="Calibri" w:eastAsia="Calibri" w:hAnsi="Calibri"/>
          <w:sz w:val="20"/>
          <w:szCs w:val="20"/>
          <w:rtl w:val="0"/>
        </w:rPr>
        <w:t xml:space="preserve">TOELICHTING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1"/>
          <w:szCs w:val="21"/>
          <w:rtl w:val="0"/>
        </w:rPr>
        <w:t xml:space="preserve">De Jordaanse wiskundeleraar en activist Ayman Sanduka postte in december 2023 een brief aan de koning op Facebook. Daarin uitte hij kritiek op de diplomatieke relaties van zijn land met Israël. Sanduka maakte alleen maar gebruik van zijn recht op vrijheid van meningsuiting. Toch werd hij tot 5 jaar gevangenisstraf veroordeeld. </w:t>
      </w:r>
      <w:r w:rsidDel="00000000" w:rsidR="00000000" w:rsidRPr="00000000">
        <w:rPr>
          <w:rFonts w:ascii="Calibri" w:cs="Calibri" w:eastAsia="Calibri" w:hAnsi="Calibri"/>
          <w:sz w:val="23"/>
          <w:szCs w:val="23"/>
          <w:rtl w:val="0"/>
        </w:rPr>
        <w:t xml:space="preserve">Sinds Israël in oktober 2023 Gaza binnenviel, gebruiken de Jordaanse autoriteiten allerlei vage wetten om journalisten, activisten en anderen die kritiek hebben op het Israël-beleid van de regering de mond te snoeren.</w:t>
      </w:r>
      <w:r w:rsidDel="00000000" w:rsidR="00000000" w:rsidRPr="00000000">
        <w:rPr>
          <w:rtl w:val="0"/>
        </w:rPr>
      </w:r>
    </w:p>
    <w:p w:rsidR="00000000" w:rsidDel="00000000" w:rsidP="00000000" w:rsidRDefault="00000000" w:rsidRPr="00000000" w14:paraId="00000009">
      <w:pPr>
        <w:pStyle w:val="Heading3"/>
        <w:keepNext w:val="0"/>
        <w:keepLines w:val="0"/>
        <w:shd w:fill="ffffff" w:val="clear"/>
        <w:spacing w:line="270" w:lineRule="auto"/>
        <w:rPr>
          <w:rFonts w:ascii="Calibri" w:cs="Calibri" w:eastAsia="Calibri" w:hAnsi="Calibri"/>
          <w:i w:val="1"/>
          <w:sz w:val="32"/>
          <w:szCs w:val="32"/>
        </w:rPr>
      </w:pPr>
      <w:bookmarkStart w:colFirst="0" w:colLast="0" w:name="_fj4iit95m68c" w:id="1"/>
      <w:bookmarkEnd w:id="1"/>
      <w:r w:rsidDel="00000000" w:rsidR="00000000" w:rsidRPr="00000000">
        <w:rPr>
          <w:rFonts w:ascii="Calibri" w:cs="Calibri" w:eastAsia="Calibri" w:hAnsi="Calibri"/>
          <w:i w:val="1"/>
          <w:sz w:val="32"/>
          <w:szCs w:val="32"/>
          <w:rtl w:val="0"/>
        </w:rPr>
        <w:t xml:space="preserve">Wat kunt u doen?</w:t>
      </w:r>
    </w:p>
    <w:p w:rsidR="00000000" w:rsidDel="00000000" w:rsidP="00000000" w:rsidRDefault="00000000" w:rsidRPr="00000000" w14:paraId="0000000A">
      <w:pPr>
        <w:shd w:fill="ffffff" w:val="clear"/>
        <w:spacing w:after="30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Schrijf alstublieft zo snel mogelijk maar in ieder geval vóór 1 juni 2025 een brief aan de koning van Jordanië. Roep hem op om Ayman Sanduka onmiddellijk vrij te laten.</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His Majesty King Abdullah II ibn Al Hussein</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Royal Hashemite Court</w:t>
      </w:r>
    </w:p>
    <w:p w:rsidR="00000000" w:rsidDel="00000000" w:rsidP="00000000" w:rsidRDefault="00000000" w:rsidRPr="00000000" w14:paraId="0000000D">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Amman, Jordan</w:t>
      </w:r>
    </w:p>
    <w:p w:rsidR="00000000" w:rsidDel="00000000" w:rsidP="00000000" w:rsidRDefault="00000000" w:rsidRPr="00000000" w14:paraId="0000000E">
      <w:pPr>
        <w:pBdr>
          <w:top w:color="000000" w:space="2" w:sz="8" w:val="single"/>
          <w:left w:color="000000" w:space="2" w:sz="8" w:val="single"/>
          <w:bottom w:color="000000" w:space="2" w:sz="8" w:val="single"/>
          <w:right w:color="000000" w:space="2" w:sz="8" w:val="single"/>
        </w:pBdr>
        <w:spacing w:before="240"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 kunt een kopie van de brief mailen naar: Embassy of the Hashemite Kingdom of Jordan E-mail: thehague@fm.gov.jo</w:t>
      </w:r>
    </w:p>
    <w:p w:rsidR="00000000" w:rsidDel="00000000" w:rsidP="00000000" w:rsidRDefault="00000000" w:rsidRPr="00000000" w14:paraId="0000000F">
      <w:pP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9" w:sz="4" w:val="single"/>
        </w:pBd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Voorzie de brief van uw handtekening, naam en adres.</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9" w:sz="4" w:val="single"/>
        </w:pBd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Netherlands</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9" w:sz="4" w:val="single"/>
        </w:pBd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Porto INTERNATIONAAL 1 zegel met aparte priority sticker</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9" w:sz="4" w:val="single"/>
        </w:pBd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Vergeet  niet zelf de datum in te vullen!</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9" w:sz="4" w:val="single"/>
        </w:pBd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April/May 2025</w:t>
      </w:r>
      <w:r w:rsidDel="00000000" w:rsidR="00000000" w:rsidRPr="00000000">
        <w:rPr>
          <w:rtl w:val="0"/>
        </w:rPr>
      </w:r>
    </w:p>
    <w:p w:rsidR="00000000" w:rsidDel="00000000" w:rsidP="00000000" w:rsidRDefault="00000000" w:rsidRPr="00000000" w14:paraId="00000016">
      <w:pPr>
        <w:spacing w:before="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His Majesty King Abdullah II ibn Al Hussein</w:t>
      </w:r>
    </w:p>
    <w:p w:rsidR="00000000" w:rsidDel="00000000" w:rsidP="00000000" w:rsidRDefault="00000000" w:rsidRPr="00000000" w14:paraId="00000017">
      <w:pPr>
        <w:spacing w:before="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Royal Hashemite Court</w:t>
      </w:r>
    </w:p>
    <w:p w:rsidR="00000000" w:rsidDel="00000000" w:rsidP="00000000" w:rsidRDefault="00000000" w:rsidRPr="00000000" w14:paraId="00000018">
      <w:pPr>
        <w:spacing w:before="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Amman</w:t>
      </w:r>
    </w:p>
    <w:p w:rsidR="00000000" w:rsidDel="00000000" w:rsidP="00000000" w:rsidRDefault="00000000" w:rsidRPr="00000000" w14:paraId="00000019">
      <w:pPr>
        <w:spacing w:before="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Jordanië</w:t>
      </w:r>
    </w:p>
    <w:p w:rsidR="00000000" w:rsidDel="00000000" w:rsidP="00000000" w:rsidRDefault="00000000" w:rsidRPr="00000000" w14:paraId="0000001A">
      <w:pPr>
        <w:spacing w:before="240"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B">
      <w:pPr>
        <w:spacing w:before="240"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Hoek van Holland, </w:t>
      </w:r>
    </w:p>
    <w:p w:rsidR="00000000" w:rsidDel="00000000" w:rsidP="00000000" w:rsidRDefault="00000000" w:rsidRPr="00000000" w14:paraId="0000001C">
      <w:pPr>
        <w:spacing w:before="240"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Your Majesty,</w:t>
      </w:r>
    </w:p>
    <w:p w:rsidR="00000000" w:rsidDel="00000000" w:rsidP="00000000" w:rsidRDefault="00000000" w:rsidRPr="00000000" w14:paraId="0000001D">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 am distressed to learn that the State Security Court in Jordan has convicted political activist and mathematics professor, </w:t>
      </w:r>
      <w:r w:rsidDel="00000000" w:rsidR="00000000" w:rsidRPr="00000000">
        <w:rPr>
          <w:rFonts w:ascii="Calibri" w:cs="Calibri" w:eastAsia="Calibri" w:hAnsi="Calibri"/>
          <w:b w:val="1"/>
          <w:sz w:val="26"/>
          <w:szCs w:val="26"/>
          <w:rtl w:val="0"/>
        </w:rPr>
        <w:t xml:space="preserve">Ayman Sanduka</w:t>
      </w:r>
      <w:r w:rsidDel="00000000" w:rsidR="00000000" w:rsidRPr="00000000">
        <w:rPr>
          <w:rFonts w:ascii="Calibri" w:cs="Calibri" w:eastAsia="Calibri" w:hAnsi="Calibri"/>
          <w:sz w:val="26"/>
          <w:szCs w:val="26"/>
          <w:rtl w:val="0"/>
        </w:rPr>
        <w:t xml:space="preserve">, of “incitement to oppose the political regime” solely for exercising his right to freedom of expression on social media. </w:t>
      </w:r>
    </w:p>
    <w:p w:rsidR="00000000" w:rsidDel="00000000" w:rsidP="00000000" w:rsidRDefault="00000000" w:rsidRPr="00000000" w14:paraId="0000001E">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 21st  December 2023, the State Security Court prosecutor summoned and detained </w:t>
      </w:r>
      <w:r w:rsidDel="00000000" w:rsidR="00000000" w:rsidRPr="00000000">
        <w:rPr>
          <w:rFonts w:ascii="Calibri" w:cs="Calibri" w:eastAsia="Calibri" w:hAnsi="Calibri"/>
          <w:b w:val="1"/>
          <w:sz w:val="26"/>
          <w:szCs w:val="26"/>
          <w:rtl w:val="0"/>
        </w:rPr>
        <w:t xml:space="preserve">Ayman Sanduka</w:t>
      </w:r>
      <w:r w:rsidDel="00000000" w:rsidR="00000000" w:rsidRPr="00000000">
        <w:rPr>
          <w:rFonts w:ascii="Calibri" w:cs="Calibri" w:eastAsia="Calibri" w:hAnsi="Calibri"/>
          <w:sz w:val="26"/>
          <w:szCs w:val="26"/>
          <w:rtl w:val="0"/>
        </w:rPr>
        <w:t xml:space="preserve"> in relation to a letter he posted on Facebook in October 2023 addressed to Your Majesty, in which he criticized Jordan’s diplomatic relations with Israel. On 7th  January 2025, the State Security Court convicted </w:t>
      </w:r>
      <w:r w:rsidDel="00000000" w:rsidR="00000000" w:rsidRPr="00000000">
        <w:rPr>
          <w:rFonts w:ascii="Calibri" w:cs="Calibri" w:eastAsia="Calibri" w:hAnsi="Calibri"/>
          <w:b w:val="1"/>
          <w:sz w:val="26"/>
          <w:szCs w:val="26"/>
          <w:rtl w:val="0"/>
        </w:rPr>
        <w:t xml:space="preserve">Ayman Sanduka</w:t>
      </w:r>
      <w:r w:rsidDel="00000000" w:rsidR="00000000" w:rsidRPr="00000000">
        <w:rPr>
          <w:rFonts w:ascii="Calibri" w:cs="Calibri" w:eastAsia="Calibri" w:hAnsi="Calibri"/>
          <w:sz w:val="26"/>
          <w:szCs w:val="26"/>
          <w:rtl w:val="0"/>
        </w:rPr>
        <w:t xml:space="preserve"> of "incitement to oppose the political regime”, under article 149 of the Penal Code and article 15 of the Cybercrimes Law and sentenced him to five years in prison.</w:t>
      </w:r>
    </w:p>
    <w:p w:rsidR="00000000" w:rsidDel="00000000" w:rsidP="00000000" w:rsidRDefault="00000000" w:rsidRPr="00000000" w14:paraId="0000001F">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urge you to ensure that </w:t>
      </w:r>
      <w:r w:rsidDel="00000000" w:rsidR="00000000" w:rsidRPr="00000000">
        <w:rPr>
          <w:rFonts w:ascii="Calibri" w:cs="Calibri" w:eastAsia="Calibri" w:hAnsi="Calibri"/>
          <w:b w:val="1"/>
          <w:sz w:val="26"/>
          <w:szCs w:val="26"/>
          <w:rtl w:val="0"/>
        </w:rPr>
        <w:t xml:space="preserve">Ayman Sanduka</w:t>
      </w:r>
      <w:r w:rsidDel="00000000" w:rsidR="00000000" w:rsidRPr="00000000">
        <w:rPr>
          <w:rFonts w:ascii="Calibri" w:cs="Calibri" w:eastAsia="Calibri" w:hAnsi="Calibri"/>
          <w:sz w:val="26"/>
          <w:szCs w:val="26"/>
          <w:rtl w:val="0"/>
        </w:rPr>
        <w:t xml:space="preserve"> is immediately and unconditionally released as </w:t>
      </w:r>
      <w:r w:rsidDel="00000000" w:rsidR="00000000" w:rsidRPr="00000000">
        <w:rPr>
          <w:rFonts w:ascii="Calibri" w:cs="Calibri" w:eastAsia="Calibri" w:hAnsi="Calibri"/>
          <w:b w:val="1"/>
          <w:sz w:val="26"/>
          <w:szCs w:val="26"/>
          <w:rtl w:val="0"/>
        </w:rPr>
        <w:t xml:space="preserve">Ayman Sanduka</w:t>
      </w:r>
      <w:r w:rsidDel="00000000" w:rsidR="00000000" w:rsidRPr="00000000">
        <w:rPr>
          <w:rFonts w:ascii="Calibri" w:cs="Calibri" w:eastAsia="Calibri" w:hAnsi="Calibri"/>
          <w:sz w:val="26"/>
          <w:szCs w:val="26"/>
          <w:rtl w:val="0"/>
        </w:rPr>
        <w:t xml:space="preserve"> has been convicted solely for peacefully exercising his right to freedom of expression. Pending his release, I urge you to ensure that </w:t>
      </w:r>
      <w:r w:rsidDel="00000000" w:rsidR="00000000" w:rsidRPr="00000000">
        <w:rPr>
          <w:rFonts w:ascii="Calibri" w:cs="Calibri" w:eastAsia="Calibri" w:hAnsi="Calibri"/>
          <w:b w:val="1"/>
          <w:sz w:val="26"/>
          <w:szCs w:val="26"/>
          <w:rtl w:val="0"/>
        </w:rPr>
        <w:t xml:space="preserve">Ayman Sanduka</w:t>
      </w:r>
      <w:r w:rsidDel="00000000" w:rsidR="00000000" w:rsidRPr="00000000">
        <w:rPr>
          <w:rFonts w:ascii="Calibri" w:cs="Calibri" w:eastAsia="Calibri" w:hAnsi="Calibri"/>
          <w:sz w:val="26"/>
          <w:szCs w:val="26"/>
          <w:rtl w:val="0"/>
        </w:rPr>
        <w:t xml:space="preserve"> is protected from torture and other cruel, inhuman or degrading treatment or punishment and has access to adequate medical care on request or as necessary.</w:t>
      </w:r>
    </w:p>
    <w:p w:rsidR="00000000" w:rsidDel="00000000" w:rsidP="00000000" w:rsidRDefault="00000000" w:rsidRPr="00000000" w14:paraId="00000020">
      <w:pPr>
        <w:spacing w:before="240"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1">
      <w:pPr>
        <w:spacing w:before="240" w:line="360" w:lineRule="auto"/>
        <w:rPr>
          <w:rFonts w:ascii="Calibri" w:cs="Calibri" w:eastAsia="Calibri" w:hAnsi="Calibri"/>
          <w:sz w:val="20"/>
          <w:szCs w:val="20"/>
        </w:rPr>
      </w:pPr>
      <w:r w:rsidDel="00000000" w:rsidR="00000000" w:rsidRPr="00000000">
        <w:rPr>
          <w:rFonts w:ascii="Calibri" w:cs="Calibri" w:eastAsia="Calibri" w:hAnsi="Calibri"/>
          <w:sz w:val="26"/>
          <w:szCs w:val="26"/>
          <w:rtl w:val="0"/>
        </w:rPr>
        <w:t xml:space="preserve">Yours faithfully,</w:t>
      </w:r>
      <w:r w:rsidDel="00000000" w:rsidR="00000000" w:rsidRPr="00000000">
        <w:rPr>
          <w:rFonts w:ascii="Calibri" w:cs="Calibri" w:eastAsia="Calibri" w:hAnsi="Calibri"/>
          <w:sz w:val="20"/>
          <w:szCs w:val="20"/>
          <w:rtl w:val="0"/>
        </w:rPr>
        <w:br w:type="textWrapping"/>
      </w:r>
    </w:p>
    <w:sectPr>
      <w:pgSz w:h="16838" w:w="11906" w:orient="portrait"/>
      <w:pgMar w:bottom="1418" w:top="1418"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hoekvanholland.amnest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